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EC6" w:rsidRDefault="00785595" w:rsidP="00A41EC6">
      <w:pPr>
        <w:jc w:val="both"/>
        <w:rPr>
          <w:b/>
        </w:rPr>
      </w:pPr>
      <w:bookmarkStart w:id="0" w:name="%CE%95_%CE%94"/>
      <w:bookmarkEnd w:id="0"/>
      <w:r>
        <w:rPr>
          <w:b/>
          <w:noProof/>
          <w:lang w:val="en-US" w:eastAsia="en-US"/>
        </w:rPr>
        <w:drawing>
          <wp:inline distT="0" distB="0" distL="0" distR="0">
            <wp:extent cx="5943600" cy="20091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009140"/>
                    </a:xfrm>
                    <a:prstGeom prst="rect">
                      <a:avLst/>
                    </a:prstGeom>
                  </pic:spPr>
                </pic:pic>
              </a:graphicData>
            </a:graphic>
          </wp:inline>
        </w:drawing>
      </w:r>
    </w:p>
    <w:p w:rsidR="00A41EC6" w:rsidRPr="00240931" w:rsidRDefault="00A41EC6" w:rsidP="00A41EC6">
      <w:pPr>
        <w:pStyle w:val="Heading6"/>
        <w:jc w:val="center"/>
        <w:rPr>
          <w:rStyle w:val="Strong"/>
          <w:rFonts w:ascii="Times New Roman" w:hAnsi="Times New Roman" w:cs="Times New Roman"/>
          <w:i w:val="0"/>
          <w:color w:val="auto"/>
          <w:sz w:val="28"/>
          <w:szCs w:val="28"/>
        </w:rPr>
      </w:pPr>
      <w:r w:rsidRPr="00D323B0">
        <w:rPr>
          <w:rStyle w:val="Strong"/>
          <w:rFonts w:ascii="Times New Roman" w:hAnsi="Times New Roman" w:cs="Times New Roman"/>
          <w:i w:val="0"/>
          <w:color w:val="auto"/>
          <w:sz w:val="28"/>
          <w:szCs w:val="28"/>
        </w:rPr>
        <w:t>Δελτίο Οικονομικών και Επιχειρηματικών  Ειδήσεων για το Κόσσοβο</w:t>
      </w:r>
      <w:r w:rsidR="00560746">
        <w:rPr>
          <w:rStyle w:val="Strong"/>
          <w:rFonts w:ascii="Times New Roman" w:hAnsi="Times New Roman" w:cs="Times New Roman"/>
          <w:i w:val="0"/>
          <w:color w:val="auto"/>
          <w:sz w:val="28"/>
          <w:szCs w:val="28"/>
        </w:rPr>
        <w:t xml:space="preserve"> (</w:t>
      </w:r>
      <w:r w:rsidR="0064747A" w:rsidRPr="0064747A">
        <w:rPr>
          <w:rStyle w:val="Strong"/>
          <w:rFonts w:ascii="Times New Roman" w:hAnsi="Times New Roman" w:cs="Times New Roman"/>
          <w:i w:val="0"/>
          <w:color w:val="auto"/>
          <w:sz w:val="28"/>
          <w:szCs w:val="28"/>
        </w:rPr>
        <w:t>05</w:t>
      </w:r>
      <w:r w:rsidR="00B8416D">
        <w:rPr>
          <w:rStyle w:val="Strong"/>
          <w:rFonts w:ascii="Times New Roman" w:hAnsi="Times New Roman" w:cs="Times New Roman"/>
          <w:i w:val="0"/>
          <w:color w:val="auto"/>
          <w:sz w:val="28"/>
          <w:szCs w:val="28"/>
        </w:rPr>
        <w:t>.0</w:t>
      </w:r>
      <w:r w:rsidR="0064747A" w:rsidRPr="0064747A">
        <w:rPr>
          <w:rStyle w:val="Strong"/>
          <w:rFonts w:ascii="Times New Roman" w:hAnsi="Times New Roman" w:cs="Times New Roman"/>
          <w:i w:val="0"/>
          <w:color w:val="auto"/>
          <w:sz w:val="28"/>
          <w:szCs w:val="28"/>
        </w:rPr>
        <w:t>7</w:t>
      </w:r>
      <w:r w:rsidR="00785595">
        <w:rPr>
          <w:rStyle w:val="Strong"/>
          <w:rFonts w:ascii="Times New Roman" w:hAnsi="Times New Roman" w:cs="Times New Roman"/>
          <w:i w:val="0"/>
          <w:color w:val="auto"/>
          <w:sz w:val="28"/>
          <w:szCs w:val="28"/>
        </w:rPr>
        <w:t>.2023)</w:t>
      </w:r>
    </w:p>
    <w:p w:rsidR="00D323B0" w:rsidRDefault="00D323B0" w:rsidP="00D323B0"/>
    <w:p w:rsidR="00D323B0" w:rsidRPr="00EC14B2" w:rsidRDefault="00D323B0" w:rsidP="00D323B0">
      <w:pPr>
        <w:jc w:val="center"/>
        <w:rPr>
          <w:b/>
          <w:u w:val="single"/>
        </w:rPr>
      </w:pPr>
      <w:r w:rsidRPr="00EC14B2">
        <w:rPr>
          <w:b/>
          <w:u w:val="single"/>
        </w:rPr>
        <w:t>Α. Μακροοικονομικά Μεγέθη.</w:t>
      </w:r>
    </w:p>
    <w:p w:rsidR="00662650" w:rsidRPr="00EC14B2" w:rsidRDefault="00662650" w:rsidP="00D323B0">
      <w:pPr>
        <w:jc w:val="center"/>
        <w:rPr>
          <w:b/>
          <w:u w:val="single"/>
        </w:rPr>
      </w:pPr>
    </w:p>
    <w:p w:rsidR="00662650" w:rsidRPr="00662650" w:rsidRDefault="00D35873" w:rsidP="00662650">
      <w:pPr>
        <w:pStyle w:val="ListParagraph"/>
        <w:numPr>
          <w:ilvl w:val="0"/>
          <w:numId w:val="2"/>
        </w:numPr>
        <w:jc w:val="center"/>
        <w:rPr>
          <w:b/>
          <w:lang w:val="en-US"/>
        </w:rPr>
      </w:pPr>
      <w:r>
        <w:rPr>
          <w:b/>
        </w:rPr>
        <w:t>Εξέλιξη εξωτερικού εμπορίου.</w:t>
      </w:r>
    </w:p>
    <w:p w:rsidR="00662650" w:rsidRDefault="00662650" w:rsidP="00662650">
      <w:pPr>
        <w:rPr>
          <w:b/>
        </w:rPr>
      </w:pPr>
    </w:p>
    <w:p w:rsidR="00D35873" w:rsidRDefault="00D35873" w:rsidP="00D35873">
      <w:pPr>
        <w:spacing w:line="276" w:lineRule="auto"/>
        <w:jc w:val="both"/>
      </w:pPr>
      <w:r>
        <w:t>Τα στοιχεία από το διεθνές εμπόριο αγαθών στο Κόσσοβο δείχνουν υψηλότερο εμπορικό έλλειμμα κατά 20,5% τον Μάιο του 2023, σε σχέση με την ίδια περίοδο του 2022, ήτοι ύψους 443,3 εκατ. Ευρώ έναντι ελλείμματος 367,8 εκατ. Ευρώ το 2022. Οι εξαγωγές καλύπτουν τις εισαγωγές κατά 14,4%.</w:t>
      </w:r>
    </w:p>
    <w:p w:rsidR="00D35873" w:rsidRDefault="00D35873" w:rsidP="00D35873">
      <w:pPr>
        <w:spacing w:line="276" w:lineRule="auto"/>
        <w:jc w:val="both"/>
      </w:pPr>
      <w:r>
        <w:t>Οι εξαγωγές αγαθών τον μήνα Μάιο 2023 ανήλθαν σε 74,7 εκατ. Ευρώ, ενώ οι εισαγωγές σε 518,1 εκατ. Ευρώ, καταγράφοντας μείωση σε ποσοστό 1,6% για τις εξαγωγές και αύξηση κατά 16,7% για τις εισαγωγές, σε σχέση με την ίδια περίοδο. του 2022.</w:t>
      </w:r>
    </w:p>
    <w:p w:rsidR="00D35873" w:rsidRDefault="00D35873" w:rsidP="00D35873">
      <w:pPr>
        <w:spacing w:line="276" w:lineRule="auto"/>
        <w:jc w:val="both"/>
      </w:pPr>
      <w:r>
        <w:t>Σύμφωνα με τα στοιχεία των βασικών ομάδων προς εξαγωγή: 24,3% είναι βασικά μέταλλα και τεχνουργήματα από αυτά, 16,5% διάφορα βιομηχανοποιημένα είδη, 13,2% πλαστικά, καουτσούκ και είδη από αυτά, 10,5% παρασκευασμένα τρόφιμα, ποτά και καπνός, 7,0% ορυκτά προϊόντα, 5,1% υφάσματα κ</w:t>
      </w:r>
      <w:r w:rsidR="00EA1FFA">
        <w:t>αι τεχνουργήματα από αυτά κ.λπ.</w:t>
      </w:r>
    </w:p>
    <w:p w:rsidR="00D35873" w:rsidRDefault="00D35873" w:rsidP="00D35873">
      <w:pPr>
        <w:spacing w:line="276" w:lineRule="auto"/>
        <w:jc w:val="both"/>
      </w:pPr>
      <w:r>
        <w:t>Ενώ σύμφωνα με τα στοιχεία των</w:t>
      </w:r>
      <w:r w:rsidR="00EA1FFA">
        <w:t xml:space="preserve"> βασικών ομάδων προς εισαγωγή: 13,6 είναι ορυκτά προϊόντα, 12,1%</w:t>
      </w:r>
      <w:r>
        <w:t xml:space="preserve"> παρασκευασ</w:t>
      </w:r>
      <w:r w:rsidR="00EA1FFA">
        <w:t>μένα τρόφιμα, ποτά και καπνός, 11,7%</w:t>
      </w:r>
      <w:r>
        <w:t xml:space="preserve"> μηχανήματα, μηχανολογικός </w:t>
      </w:r>
      <w:r w:rsidR="00EA1FFA">
        <w:t>και ηλεκτρολογικός εξοπλισμός, 10,8% μεταφορικά μέσα, 10,2%</w:t>
      </w:r>
      <w:r>
        <w:t xml:space="preserve"> βασικά μέταλλα και τεχνουργ</w:t>
      </w:r>
      <w:r w:rsidR="00EA1FFA">
        <w:t>ήματα από αυτά, 6,9%</w:t>
      </w:r>
      <w:r>
        <w:t xml:space="preserve"> προ</w:t>
      </w:r>
      <w:r w:rsidR="00EA1FFA">
        <w:t>ϊόντα της χημικής βιομηχανίας, 6,3%</w:t>
      </w:r>
      <w:r>
        <w:t xml:space="preserve"> πλαστικά, καουτσούκ κ</w:t>
      </w:r>
      <w:r w:rsidR="00EA1FFA">
        <w:t>αι τεχνουργήματα από αυτά κ.λπ.</w:t>
      </w:r>
    </w:p>
    <w:p w:rsidR="00D35873" w:rsidRDefault="00EA1FFA" w:rsidP="00D35873">
      <w:pPr>
        <w:spacing w:line="276" w:lineRule="auto"/>
        <w:jc w:val="both"/>
      </w:pPr>
      <w:r>
        <w:t>Οι εξαγωγές του Κοσσόβου</w:t>
      </w:r>
      <w:r w:rsidR="00D35873">
        <w:t xml:space="preserve"> π</w:t>
      </w:r>
      <w:r>
        <w:t>ρος τις χώρες της ΕΕ</w:t>
      </w:r>
      <w:r w:rsidR="00B707B2">
        <w:t>, για την περίοδο αναφοράς,</w:t>
      </w:r>
      <w:r>
        <w:t xml:space="preserve"> ανήλθαν σε 21,8 εκατ. Ευρώ ή περίπου 29,2% των συνολικών εξαγωγών, παρουσιάζοντας μείωση κατά 3,0%. Οι κύριοι εταίροι για  εξαγωγές αγαθών στην ΕΕ είναι: Γερμανία 9,7%, Ιταλία 4,0%, Ολλανδία 3,1% κ.α</w:t>
      </w:r>
      <w:r w:rsidR="00341EC8">
        <w:t>.</w:t>
      </w:r>
    </w:p>
    <w:p w:rsidR="00D35873" w:rsidRPr="00341EC8" w:rsidRDefault="00D35873" w:rsidP="00D35873">
      <w:pPr>
        <w:spacing w:line="276" w:lineRule="auto"/>
        <w:jc w:val="both"/>
        <w:rPr>
          <w:b/>
          <w:u w:val="single"/>
        </w:rPr>
      </w:pPr>
      <w:r w:rsidRPr="00341EC8">
        <w:rPr>
          <w:b/>
          <w:u w:val="single"/>
        </w:rPr>
        <w:t>Οι εισ</w:t>
      </w:r>
      <w:r w:rsidR="00341EC8" w:rsidRPr="00341EC8">
        <w:rPr>
          <w:b/>
          <w:u w:val="single"/>
        </w:rPr>
        <w:t>αγωγές του Κοσσόβου από χώρες της ΕΕ ανήλθαν σε 215,2 εκατ. Ευρώ ή 41,5%</w:t>
      </w:r>
      <w:r w:rsidRPr="00341EC8">
        <w:rPr>
          <w:b/>
          <w:u w:val="single"/>
        </w:rPr>
        <w:t xml:space="preserve"> των συνολικών εισαγ</w:t>
      </w:r>
      <w:r w:rsidR="00341EC8" w:rsidRPr="00341EC8">
        <w:rPr>
          <w:b/>
          <w:u w:val="single"/>
        </w:rPr>
        <w:t>ωγών, σημειώνοντας αύξηση κατά 14,1%. Οι κύριοι εταίροι για εισαγωγές ήταν: Γερμανία 13,0%, Ελλάδα 5,6%, Ιταλία 5,6% κ.α</w:t>
      </w:r>
      <w:r w:rsidRPr="00341EC8">
        <w:rPr>
          <w:b/>
          <w:u w:val="single"/>
        </w:rPr>
        <w:t>.</w:t>
      </w:r>
    </w:p>
    <w:p w:rsidR="00D35873" w:rsidRPr="00341EC8" w:rsidRDefault="00D35873" w:rsidP="00D35873">
      <w:pPr>
        <w:spacing w:line="276" w:lineRule="auto"/>
        <w:jc w:val="both"/>
        <w:rPr>
          <w:b/>
          <w:u w:val="single"/>
        </w:rPr>
      </w:pPr>
    </w:p>
    <w:p w:rsidR="00D35873" w:rsidRDefault="00D35873" w:rsidP="00D35873">
      <w:pPr>
        <w:spacing w:line="276" w:lineRule="auto"/>
        <w:jc w:val="both"/>
      </w:pPr>
      <w:r>
        <w:t>Οι εξαγωγές του Κοσ</w:t>
      </w:r>
      <w:r w:rsidR="00B707B2">
        <w:t>σόβου προς τις χώρες CEFTA, για την περίοδο αναφοράς, προσέγγισαν τα 33,1 εκατ. Ευρώ, ή 44,3% των συνολικών εξαγωγών, καταγράφοντας αύξηση σε ποσοστό 6,9%</w:t>
      </w:r>
      <w:r>
        <w:t xml:space="preserve">. Οι </w:t>
      </w:r>
      <w:r w:rsidR="00B707B2">
        <w:t xml:space="preserve">κύριοι εταίροι για εξαγωγές προς </w:t>
      </w:r>
      <w:r>
        <w:t xml:space="preserve">τις </w:t>
      </w:r>
      <w:r w:rsidR="00B707B2">
        <w:t>χώρες της CEFTA είναι: Αλβανία 15,3%, Βόρεια Μακεδονία 14,8%</w:t>
      </w:r>
      <w:r>
        <w:t>, Σερ</w:t>
      </w:r>
      <w:r w:rsidR="00B707B2">
        <w:t>βία 6,9%, Μαυροβούνιο 5,9%.</w:t>
      </w:r>
    </w:p>
    <w:p w:rsidR="00D35873" w:rsidRDefault="00B707B2" w:rsidP="00D35873">
      <w:pPr>
        <w:spacing w:line="276" w:lineRule="auto"/>
        <w:jc w:val="both"/>
      </w:pPr>
      <w:r>
        <w:t xml:space="preserve">Οι </w:t>
      </w:r>
      <w:r w:rsidR="00D35873">
        <w:t>εισαγ</w:t>
      </w:r>
      <w:r>
        <w:t xml:space="preserve">ωγές από χώρες </w:t>
      </w:r>
      <w:r w:rsidR="00D35873">
        <w:t xml:space="preserve"> CEFTA τον Μάιο </w:t>
      </w:r>
      <w:r>
        <w:t>του 2023 ανήλθαν σε 96,8 εκατ. Ευρώ ή 18,7%</w:t>
      </w:r>
      <w:r w:rsidR="00D35873">
        <w:t xml:space="preserve"> των συνολικών εισαγ</w:t>
      </w:r>
      <w:r>
        <w:t>ωγών, σημειώνοντας αύξηση κατά 16,9%</w:t>
      </w:r>
      <w:r w:rsidR="00D35873">
        <w:t>. Οι χώρες με το μεγαλύτερο μ</w:t>
      </w:r>
      <w:r>
        <w:t>ερίδιο εισαγωγών ήταν: Αλβανία 6,8%, Σερβία 5,3%, Βόρεια Μακεδονία 5,2%</w:t>
      </w:r>
      <w:r w:rsidR="00D35873">
        <w:t>.</w:t>
      </w:r>
    </w:p>
    <w:p w:rsidR="00D35873" w:rsidRPr="00D35873" w:rsidRDefault="00D35873" w:rsidP="00D35873">
      <w:pPr>
        <w:spacing w:line="276" w:lineRule="auto"/>
        <w:jc w:val="both"/>
      </w:pPr>
    </w:p>
    <w:p w:rsidR="003C1951" w:rsidRDefault="00A76408" w:rsidP="00662650">
      <w:pPr>
        <w:pStyle w:val="ListParagraph"/>
        <w:numPr>
          <w:ilvl w:val="0"/>
          <w:numId w:val="2"/>
        </w:numPr>
        <w:spacing w:line="276" w:lineRule="auto"/>
        <w:jc w:val="center"/>
        <w:rPr>
          <w:b/>
        </w:rPr>
      </w:pPr>
      <w:r>
        <w:rPr>
          <w:b/>
        </w:rPr>
        <w:t>Νέα έκδοση ετησίων κρατικών ομολόγων</w:t>
      </w:r>
      <w:r w:rsidR="000C6DAE">
        <w:rPr>
          <w:b/>
        </w:rPr>
        <w:t>.</w:t>
      </w:r>
    </w:p>
    <w:p w:rsidR="007B1641" w:rsidRPr="00AD469B" w:rsidRDefault="007B1641" w:rsidP="00662650">
      <w:pPr>
        <w:spacing w:line="276" w:lineRule="auto"/>
        <w:jc w:val="both"/>
      </w:pPr>
    </w:p>
    <w:p w:rsidR="00376DD5" w:rsidRDefault="00A76408" w:rsidP="00662650">
      <w:pPr>
        <w:spacing w:line="276" w:lineRule="auto"/>
        <w:jc w:val="both"/>
      </w:pPr>
      <w:r w:rsidRPr="00A76408">
        <w:t>Το υπουργε</w:t>
      </w:r>
      <w:r>
        <w:t>ίο Οικονομικών του Κοσσόβου</w:t>
      </w:r>
      <w:r w:rsidRPr="00A76408">
        <w:t xml:space="preserve"> </w:t>
      </w:r>
      <w:r>
        <w:t>εξέδωσε ετήσια κρατικά ομόλογα</w:t>
      </w:r>
      <w:r w:rsidRPr="00A76408">
        <w:t xml:space="preserve"> </w:t>
      </w:r>
      <w:r>
        <w:t xml:space="preserve">συνολικής αξίας 20 εκατομμυρίων Ευρώ </w:t>
      </w:r>
      <w:r w:rsidRPr="00A76408">
        <w:t>σε δημο</w:t>
      </w:r>
      <w:r>
        <w:t>πρασία στις 30 Ιουνίου.</w:t>
      </w:r>
      <w:r w:rsidRPr="00A76408">
        <w:t xml:space="preserve"> Οι κρατικοί τίτλοι θα λήξουν την 1η Ιουλίου 2024, ανέφερε το υπουργείο Οικονομικών σε ανακοίν</w:t>
      </w:r>
      <w:r>
        <w:t xml:space="preserve">ωσή του. </w:t>
      </w:r>
      <w:r w:rsidRPr="00A76408">
        <w:t xml:space="preserve">Στην τελευταία δημοπρασία </w:t>
      </w:r>
      <w:r>
        <w:t xml:space="preserve">ετησίων κρατικών ομολόγων </w:t>
      </w:r>
      <w:r w:rsidRPr="00A76408">
        <w:t>που πραγματοποιήθηκε τον Σεπτέμβριο του 2021, το υπουργεί</w:t>
      </w:r>
      <w:r>
        <w:t xml:space="preserve">ο Οικονομικών </w:t>
      </w:r>
      <w:r w:rsidRPr="00A76408">
        <w:t>πούλησε κρατικούς τ</w:t>
      </w:r>
      <w:r>
        <w:t>ίτλους αξίας 12,8 εκατομμυρίων Ε</w:t>
      </w:r>
      <w:r w:rsidRPr="00A76408">
        <w:t xml:space="preserve">υρώ. Η μέση σταθμική απόδοση ανήλθε στο 0,61%, από 0,47% στην προηγούμενη δημοπρασία ομολόγων μονοετούς διάρκειας που πραγματοποιήθηκε τον </w:t>
      </w:r>
      <w:r>
        <w:t>Ιούνιο του 2019.</w:t>
      </w:r>
    </w:p>
    <w:p w:rsidR="005408DD" w:rsidRPr="008B337A" w:rsidRDefault="005408DD" w:rsidP="00376DD5">
      <w:pPr>
        <w:spacing w:line="276" w:lineRule="auto"/>
        <w:jc w:val="both"/>
      </w:pPr>
    </w:p>
    <w:p w:rsidR="00413B3D" w:rsidRPr="00EC14B2" w:rsidRDefault="00CD4FE0" w:rsidP="00E05F40">
      <w:pPr>
        <w:spacing w:line="276" w:lineRule="auto"/>
        <w:jc w:val="center"/>
        <w:rPr>
          <w:b/>
          <w:u w:val="single"/>
          <w:lang w:val="en-US"/>
        </w:rPr>
      </w:pPr>
      <w:r w:rsidRPr="00EC14B2">
        <w:rPr>
          <w:b/>
          <w:u w:val="single"/>
        </w:rPr>
        <w:t xml:space="preserve">Β. </w:t>
      </w:r>
      <w:r w:rsidR="00243CDC" w:rsidRPr="00EC14B2">
        <w:rPr>
          <w:b/>
          <w:u w:val="single"/>
        </w:rPr>
        <w:t xml:space="preserve">Τοπικά </w:t>
      </w:r>
      <w:r w:rsidRPr="00EC14B2">
        <w:rPr>
          <w:b/>
          <w:u w:val="single"/>
        </w:rPr>
        <w:t>Επιχειρηματικά Νέα.</w:t>
      </w:r>
    </w:p>
    <w:p w:rsidR="00F86615" w:rsidRPr="00EC14B2" w:rsidRDefault="00F86615" w:rsidP="0059168A">
      <w:pPr>
        <w:spacing w:line="276" w:lineRule="auto"/>
        <w:rPr>
          <w:u w:val="single"/>
        </w:rPr>
      </w:pPr>
    </w:p>
    <w:p w:rsidR="00F86615" w:rsidRDefault="003F5CEE" w:rsidP="00097A18">
      <w:pPr>
        <w:pStyle w:val="ListParagraph"/>
        <w:numPr>
          <w:ilvl w:val="0"/>
          <w:numId w:val="3"/>
        </w:numPr>
        <w:spacing w:line="276" w:lineRule="auto"/>
        <w:jc w:val="center"/>
        <w:rPr>
          <w:b/>
        </w:rPr>
      </w:pPr>
      <w:r>
        <w:rPr>
          <w:b/>
        </w:rPr>
        <w:t>Παραγωγή ηλεκτρικής ενέργειας</w:t>
      </w:r>
      <w:r w:rsidR="00097A18">
        <w:rPr>
          <w:b/>
        </w:rPr>
        <w:t>.</w:t>
      </w:r>
    </w:p>
    <w:p w:rsidR="00E05F40" w:rsidRDefault="00E05F40" w:rsidP="00E05F40">
      <w:pPr>
        <w:spacing w:line="276" w:lineRule="auto"/>
        <w:rPr>
          <w:b/>
        </w:rPr>
      </w:pPr>
    </w:p>
    <w:p w:rsidR="00A56520" w:rsidRPr="003F5CEE" w:rsidRDefault="003F5CEE" w:rsidP="00FB0728">
      <w:pPr>
        <w:spacing w:line="276" w:lineRule="auto"/>
        <w:jc w:val="both"/>
      </w:pPr>
      <w:r w:rsidRPr="003F5CEE">
        <w:t>Η ακαθάριστη παραγωγή ηλεκτρ</w:t>
      </w:r>
      <w:r w:rsidR="00647F8F">
        <w:t>ικής ενέργειας του Κοσσόβου</w:t>
      </w:r>
      <w:r w:rsidRPr="003F5CEE">
        <w:t xml:space="preserve"> ανήλθε σε 627,65 </w:t>
      </w:r>
      <w:proofErr w:type="spellStart"/>
      <w:r w:rsidRPr="003F5CEE">
        <w:rPr>
          <w:lang w:val="en-US"/>
        </w:rPr>
        <w:t>GWh</w:t>
      </w:r>
      <w:proofErr w:type="spellEnd"/>
      <w:r w:rsidRPr="003F5CEE">
        <w:t xml:space="preserve"> τον Απρίλιο, σημειώνοντ</w:t>
      </w:r>
      <w:r w:rsidR="00647F8F">
        <w:t>ας αύξηση 4,42% σε ετήσια βάση, σύμφωνα με την Εθνική Στατιστική Υπηρεσία</w:t>
      </w:r>
      <w:r w:rsidRPr="003F5CEE">
        <w:t xml:space="preserve">. Οι θερμοηλεκτρικοί σταθμοί παρήγαγαν 437,54 </w:t>
      </w:r>
      <w:proofErr w:type="spellStart"/>
      <w:r w:rsidRPr="003F5CEE">
        <w:rPr>
          <w:lang w:val="en-US"/>
        </w:rPr>
        <w:t>GWh</w:t>
      </w:r>
      <w:proofErr w:type="spellEnd"/>
      <w:r w:rsidRPr="003F5CEE">
        <w:t xml:space="preserve"> ηλεκτρικής ενέργειας, οι αιολικές και ηλιακές εγκαταστάσεις παρήγαγαν 35,34 </w:t>
      </w:r>
      <w:proofErr w:type="spellStart"/>
      <w:r w:rsidRPr="003F5CEE">
        <w:rPr>
          <w:lang w:val="en-US"/>
        </w:rPr>
        <w:t>GWh</w:t>
      </w:r>
      <w:proofErr w:type="spellEnd"/>
      <w:r w:rsidRPr="003F5CEE">
        <w:t xml:space="preserve">, ενώ οι υδροηλεκτρικοί σταθμοί παρήγαγαν 41,27 </w:t>
      </w:r>
      <w:proofErr w:type="spellStart"/>
      <w:r w:rsidRPr="003F5CEE">
        <w:rPr>
          <w:lang w:val="en-US"/>
        </w:rPr>
        <w:t>GWh</w:t>
      </w:r>
      <w:proofErr w:type="spellEnd"/>
      <w:r w:rsidRPr="003F5CEE">
        <w:t xml:space="preserve"> τον Απρίλιο, ανέφερε σε δήλωση η Στατι</w:t>
      </w:r>
      <w:r w:rsidR="00647F8F">
        <w:t>στική Υπηρεσία του Κοσσόβου. Το έλλειμμα στο εμπορικό ισοζύγιο</w:t>
      </w:r>
      <w:r w:rsidRPr="003F5CEE">
        <w:t xml:space="preserve"> ηλεκτρικής ενέργειας ανήλθε σε 113,5 </w:t>
      </w:r>
      <w:proofErr w:type="spellStart"/>
      <w:r w:rsidRPr="003F5CEE">
        <w:rPr>
          <w:lang w:val="en-US"/>
        </w:rPr>
        <w:t>GWh</w:t>
      </w:r>
      <w:proofErr w:type="spellEnd"/>
      <w:r w:rsidR="00647F8F">
        <w:t>. Το Κόσσοβο</w:t>
      </w:r>
      <w:r w:rsidRPr="003F5CEE">
        <w:t xml:space="preserve"> εισήγαγε 316,79 </w:t>
      </w:r>
      <w:proofErr w:type="spellStart"/>
      <w:r w:rsidRPr="003F5CEE">
        <w:rPr>
          <w:lang w:val="en-US"/>
        </w:rPr>
        <w:t>GWh</w:t>
      </w:r>
      <w:proofErr w:type="spellEnd"/>
      <w:r w:rsidRPr="003F5CEE">
        <w:t xml:space="preserve"> ηλεκτρικής ενέρ</w:t>
      </w:r>
      <w:r w:rsidR="00647F8F">
        <w:t xml:space="preserve">γειας τον Απρίλιο, καταγράφοντας </w:t>
      </w:r>
      <w:r w:rsidRPr="003F5CEE">
        <w:t xml:space="preserve">αύξηση 53,7% σε ετήσια βάση, ενώ οι εξαγωγές ηλεκτρικής ενέργειας μειώθηκαν κατά 17,2% στις 203,29 </w:t>
      </w:r>
      <w:proofErr w:type="spellStart"/>
      <w:r w:rsidRPr="003F5CEE">
        <w:rPr>
          <w:lang w:val="en-US"/>
        </w:rPr>
        <w:t>GWh</w:t>
      </w:r>
      <w:proofErr w:type="spellEnd"/>
      <w:r w:rsidRPr="003F5CEE">
        <w:t>. Η παραγωγή άνθρακα ανήλθε σε 589.984 τόνους τον Απρίλιο</w:t>
      </w:r>
      <w:r w:rsidR="00647F8F">
        <w:t xml:space="preserve"> 2023</w:t>
      </w:r>
      <w:r w:rsidRPr="003F5CEE">
        <w:t>, μειωμένη κατά 9,07% σε σύγκριση με τον ίδιο μήνα του 2022.</w:t>
      </w:r>
    </w:p>
    <w:p w:rsidR="00581909" w:rsidRPr="00FB0728" w:rsidRDefault="00581909" w:rsidP="00FB0728">
      <w:pPr>
        <w:spacing w:line="276" w:lineRule="auto"/>
        <w:jc w:val="both"/>
      </w:pPr>
    </w:p>
    <w:p w:rsidR="00FA7497" w:rsidRPr="000142CB" w:rsidRDefault="00B66D1C" w:rsidP="00FA7497">
      <w:pPr>
        <w:pStyle w:val="ListParagraph"/>
        <w:numPr>
          <w:ilvl w:val="0"/>
          <w:numId w:val="3"/>
        </w:numPr>
        <w:spacing w:line="276" w:lineRule="auto"/>
        <w:jc w:val="center"/>
        <w:rPr>
          <w:b/>
        </w:rPr>
      </w:pPr>
      <w:r>
        <w:rPr>
          <w:b/>
        </w:rPr>
        <w:t xml:space="preserve">Εξέλιξη </w:t>
      </w:r>
      <w:proofErr w:type="spellStart"/>
      <w:r>
        <w:rPr>
          <w:b/>
        </w:rPr>
        <w:t>επισκεψιμότητας</w:t>
      </w:r>
      <w:proofErr w:type="spellEnd"/>
      <w:r>
        <w:rPr>
          <w:b/>
        </w:rPr>
        <w:t xml:space="preserve"> σε ξενοδοχειακό τομέα</w:t>
      </w:r>
      <w:r w:rsidR="00FA7497">
        <w:rPr>
          <w:b/>
        </w:rPr>
        <w:t>.</w:t>
      </w:r>
    </w:p>
    <w:p w:rsidR="00EC14B2" w:rsidRDefault="00EC14B2" w:rsidP="00EC14B2">
      <w:pPr>
        <w:spacing w:line="276" w:lineRule="auto"/>
        <w:jc w:val="both"/>
      </w:pPr>
    </w:p>
    <w:p w:rsidR="00B66D1C" w:rsidRDefault="00B66D1C" w:rsidP="00B66D1C">
      <w:pPr>
        <w:spacing w:line="276" w:lineRule="auto"/>
        <w:jc w:val="both"/>
      </w:pPr>
      <w:r>
        <w:t>Η Στατιστική Υπηρεσία του Κοσσόβου δημοσίευσε τις στατιστικές ξενοδοχείων για τον μήνα Μάιο 2023.</w:t>
      </w:r>
    </w:p>
    <w:p w:rsidR="00B66D1C" w:rsidRDefault="00B66D1C" w:rsidP="00B66D1C">
      <w:pPr>
        <w:spacing w:line="276" w:lineRule="auto"/>
        <w:jc w:val="both"/>
      </w:pPr>
      <w:r>
        <w:t xml:space="preserve">Τον Μάιο του 2023, ο αριθμός των επισκεπτών (ντόπιοι και ξένοι) ήταν 48.553, εκ των οποίων το 46,17% ήταν ντόπιοι επισκέπτες και το 53,83% ήταν ξένοι επισκέπτες. Σε σύγκριση με το </w:t>
      </w:r>
      <w:r>
        <w:lastRenderedPageBreak/>
        <w:t>μήνα Μάιο 2022 (υπήρχαν 32.444 επισκέπτες), σημειώθηκε αύξηση στο σύνολο των επισκεπτών κατά 49,65%.</w:t>
      </w:r>
    </w:p>
    <w:p w:rsidR="00B66D1C" w:rsidRDefault="00B66D1C" w:rsidP="00B66D1C">
      <w:pPr>
        <w:spacing w:line="276" w:lineRule="auto"/>
        <w:jc w:val="both"/>
      </w:pPr>
      <w:r>
        <w:t>Ο αριθμός των διανυκτερεύσεων ήταν 133.135, εκ των οποίων το 59,16% από ντόπιους επισκέπτες και το 40,84% από ξένους επισκέπτες.</w:t>
      </w:r>
    </w:p>
    <w:p w:rsidR="00B66D1C" w:rsidRDefault="00B66D1C" w:rsidP="00B66D1C">
      <w:pPr>
        <w:spacing w:line="276" w:lineRule="auto"/>
        <w:jc w:val="both"/>
      </w:pPr>
      <w:r>
        <w:t xml:space="preserve">Η περιοχή της Πρίστινα έχει τον μεγαλύτερο αριθμό ντόπιων επισκεπτών με 3.255 επισκέπτες, ενώ η περιοχή της </w:t>
      </w:r>
      <w:proofErr w:type="spellStart"/>
      <w:r>
        <w:t>Πέγιας</w:t>
      </w:r>
      <w:proofErr w:type="spellEnd"/>
      <w:r>
        <w:t xml:space="preserve"> έχει τον μεγαλύτερο αριθμό διανυκτερεύσεων με 17.459 διανυκτερεύσεις.</w:t>
      </w:r>
    </w:p>
    <w:p w:rsidR="00EC14B2" w:rsidRDefault="00B66D1C" w:rsidP="00F70179">
      <w:pPr>
        <w:spacing w:line="276" w:lineRule="auto"/>
        <w:jc w:val="both"/>
      </w:pPr>
      <w:r>
        <w:t>Όσον αφορά τους ξένους επισκέπτες, σε σύγκριση με την προηγούμενη περίοδο (Μάιος 2022), παρατηρείται αύξηση των επισκεπτών κατά 28,11%. Συνολικά διανυκτέρευσαν 26.138 ξένοι επισκέπτες, εκ των οποίων ο μεγαλύτερος αριθμός ήταν από Αλβανία, Γερμανία, Ελβετία, Τουρκία κ.λπ.</w:t>
      </w:r>
    </w:p>
    <w:p w:rsidR="00A56520" w:rsidRDefault="00A56520" w:rsidP="00F70179">
      <w:pPr>
        <w:spacing w:line="276" w:lineRule="auto"/>
        <w:jc w:val="both"/>
      </w:pPr>
    </w:p>
    <w:p w:rsidR="00A56520" w:rsidRDefault="00A56520" w:rsidP="00A56520">
      <w:pPr>
        <w:pStyle w:val="ListParagraph"/>
        <w:numPr>
          <w:ilvl w:val="0"/>
          <w:numId w:val="3"/>
        </w:numPr>
        <w:spacing w:line="276" w:lineRule="auto"/>
        <w:jc w:val="center"/>
        <w:rPr>
          <w:b/>
        </w:rPr>
      </w:pPr>
      <w:r>
        <w:rPr>
          <w:b/>
        </w:rPr>
        <w:t xml:space="preserve">Επανέναρξη λειτουργίας εργοστασίου </w:t>
      </w:r>
      <w:proofErr w:type="spellStart"/>
      <w:r>
        <w:rPr>
          <w:b/>
          <w:lang w:val="en-US"/>
        </w:rPr>
        <w:t>Ferronikeli</w:t>
      </w:r>
      <w:proofErr w:type="spellEnd"/>
      <w:r>
        <w:rPr>
          <w:b/>
          <w:lang w:val="en-US"/>
        </w:rPr>
        <w:t>.</w:t>
      </w:r>
    </w:p>
    <w:p w:rsidR="00A56520" w:rsidRDefault="00A56520" w:rsidP="00A56520">
      <w:pPr>
        <w:spacing w:line="276" w:lineRule="auto"/>
        <w:jc w:val="center"/>
        <w:rPr>
          <w:b/>
        </w:rPr>
      </w:pPr>
    </w:p>
    <w:p w:rsidR="00A56520" w:rsidRDefault="00A56520" w:rsidP="00A56520">
      <w:pPr>
        <w:spacing w:line="276" w:lineRule="auto"/>
        <w:jc w:val="both"/>
      </w:pPr>
      <w:r>
        <w:t>Η παραγωγή στο εργοστάσιο ξεκίνησε ξανά στις 21 Ιουνίου μετά από τρεις εβδομάδ</w:t>
      </w:r>
      <w:r>
        <w:t>ες προετοιμασίας</w:t>
      </w:r>
      <w:r w:rsidRPr="00A56520">
        <w:t xml:space="preserve"> </w:t>
      </w:r>
      <w:r>
        <w:t>της εγκατάστασης</w:t>
      </w:r>
      <w:r w:rsidRPr="00A56520">
        <w:t xml:space="preserve"> </w:t>
      </w:r>
      <w:r>
        <w:t>μηχανολογικού εξοπλισμού. Το εργοστάσιο παραγωγή</w:t>
      </w:r>
      <w:r>
        <w:t>ς νικελίου είχε πολλούς διαφορετικούς ιδιοκτήτες από τότε που ιδιωτικοποιήθηκε το 2005 και τον Σεπτέμ</w:t>
      </w:r>
      <w:r>
        <w:t>βριο του 2022, ευρισκόμενο σε αναστολή λειτουργίας</w:t>
      </w:r>
      <w:r>
        <w:t xml:space="preserve">, αγοράστηκε από τον τουρκικό όμιλο </w:t>
      </w:r>
      <w:proofErr w:type="spellStart"/>
      <w:r>
        <w:t>Yildirim</w:t>
      </w:r>
      <w:proofErr w:type="spellEnd"/>
      <w:r>
        <w:t>. Τα κοιτάσματα μεταλλεύματος νικελίου ανακαλύ</w:t>
      </w:r>
      <w:r>
        <w:t>φθηκαν για πρώτη φορά στην περιοχή γύρω από την πόλη</w:t>
      </w:r>
      <w:r>
        <w:t xml:space="preserve"> </w:t>
      </w:r>
      <w:proofErr w:type="spellStart"/>
      <w:r>
        <w:t>Δρένα</w:t>
      </w:r>
      <w:proofErr w:type="spellEnd"/>
      <w:r>
        <w:t xml:space="preserve"> στ</w:t>
      </w:r>
      <w:r>
        <w:t>α τέλη της δεκαετίας του 1950 και τ</w:t>
      </w:r>
      <w:r>
        <w:t>ο εργοστάσιο νικελίου κατασκευάστ</w:t>
      </w:r>
      <w:r>
        <w:t>ηκε το 1984.</w:t>
      </w:r>
    </w:p>
    <w:p w:rsidR="00A56520" w:rsidRDefault="00A56520" w:rsidP="00A56520">
      <w:pPr>
        <w:spacing w:line="276" w:lineRule="auto"/>
        <w:jc w:val="both"/>
      </w:pPr>
    </w:p>
    <w:p w:rsidR="00A56520" w:rsidRDefault="00A56520" w:rsidP="00A56520">
      <w:pPr>
        <w:spacing w:line="276" w:lineRule="auto"/>
        <w:jc w:val="both"/>
      </w:pPr>
      <w:r>
        <w:t>Το νικέλιο είναι ένα ανθεκτικό στη διάβρωση μέταλλο που χρησιμοποιείται στην παραγωγή ανοξείδωτου χάλυβα και καταναλωτικών ειδών όπως μπαταρίες και μερικοί μαγνήτες. Μετά το κλείσιμο του Οκτωβρίου 2021, πραγματοποιήθηκαν διαδηλώσεις στις οποίες οι εργαζόμενοι κάλεσαν την Πρίστινα να παρέμβει. Σύμφωνα με στελέχη της εταιρείας, τον πρώτο χρόνο μετά τη διακοπή της παραγωγής, οι εργαζόμενοι πληρώθηκαν το 50 τοις εκατό των μισθών τους. Πιο πρόσφατα, το προσωπικό περίπου 1.000 ατόμων άρχισε να λαμβάνει το 75 τοις εκατό των μισθών</w:t>
      </w:r>
      <w:r>
        <w:t xml:space="preserve"> του και εργαζόταν με μειωμένο ωράριο </w:t>
      </w:r>
      <w:r>
        <w:t>για τη συντήρηση του εξοπλισμού στο εργοστάσιο.</w:t>
      </w:r>
    </w:p>
    <w:p w:rsidR="00A56520" w:rsidRDefault="00A56520" w:rsidP="00A56520">
      <w:pPr>
        <w:spacing w:line="276" w:lineRule="auto"/>
        <w:jc w:val="both"/>
      </w:pPr>
    </w:p>
    <w:p w:rsidR="00A56520" w:rsidRPr="00A56520" w:rsidRDefault="00A56520" w:rsidP="00A56520">
      <w:pPr>
        <w:spacing w:line="276" w:lineRule="auto"/>
        <w:jc w:val="both"/>
      </w:pPr>
      <w:r>
        <w:t xml:space="preserve">Η </w:t>
      </w:r>
      <w:proofErr w:type="spellStart"/>
      <w:r>
        <w:t>Newco</w:t>
      </w:r>
      <w:proofErr w:type="spellEnd"/>
      <w:r>
        <w:t xml:space="preserve"> </w:t>
      </w:r>
      <w:proofErr w:type="spellStart"/>
      <w:r>
        <w:t>Ferronikeli</w:t>
      </w:r>
      <w:proofErr w:type="spellEnd"/>
      <w:r>
        <w:t xml:space="preserve"> είναι ένας από τους μεγαλύτε</w:t>
      </w:r>
      <w:r>
        <w:t>ρους εξαγωγείς του Κοσσόβου.</w:t>
      </w:r>
      <w:r>
        <w:t xml:space="preserve"> Το 2019, προτού η πανδημία προκαλέσει αναταραχή στο παγκόσμ</w:t>
      </w:r>
      <w:r>
        <w:t>ιο εμπόριο, η εταιρεία εξήγαγε</w:t>
      </w:r>
      <w:r w:rsidR="004B415F">
        <w:t xml:space="preserve"> νικέλιο αξίας 51 εκατομμυρίων Ευρώ, περίπου το 13% του συνόλου των εξαγωγών </w:t>
      </w:r>
      <w:r>
        <w:t>σε αξία. Αν και το εργοστάσιο έχει τεράστια οικονομική σημασία για την περιοχή, έχει επικριθεί για τις περιβαλλοντικές του επιπτώσεις εν μέσω φόβων ότι τα τοξικά απόβλητα στην τοποθεσία θα μπορούσαν να θέσουν σε κίνδυνο την ποιότητα του αέρα και το πόσιμο νερό. Το εργοστάσιο προμηθεύεται όλη του την ηλεκτρική ενέργεια από το εξωτερικό και έτσι ήταν ιδι</w:t>
      </w:r>
      <w:r w:rsidR="004B415F">
        <w:t xml:space="preserve">αίτερα ευάλωτο στις αυξήσεις </w:t>
      </w:r>
      <w:bookmarkStart w:id="1" w:name="_GoBack"/>
      <w:bookmarkEnd w:id="1"/>
      <w:r>
        <w:t>των τιμών της ενέργειας που συγκλόνισαν την Ευρώ</w:t>
      </w:r>
      <w:r w:rsidR="004B415F">
        <w:t>πη από τα τέλη του 2021.</w:t>
      </w:r>
    </w:p>
    <w:p w:rsidR="00EC14B2" w:rsidRDefault="00EC14B2" w:rsidP="00243CDC">
      <w:pPr>
        <w:spacing w:line="276" w:lineRule="auto"/>
        <w:jc w:val="center"/>
        <w:rPr>
          <w:b/>
          <w:u w:val="single"/>
        </w:rPr>
      </w:pPr>
    </w:p>
    <w:p w:rsidR="00243CDC" w:rsidRPr="00EC14B2" w:rsidRDefault="00243CDC" w:rsidP="00243CDC">
      <w:pPr>
        <w:spacing w:line="276" w:lineRule="auto"/>
        <w:jc w:val="center"/>
        <w:rPr>
          <w:b/>
          <w:u w:val="single"/>
        </w:rPr>
      </w:pPr>
      <w:r w:rsidRPr="00EC14B2">
        <w:rPr>
          <w:b/>
          <w:u w:val="single"/>
        </w:rPr>
        <w:t>Γ. Νέα ιδιαίτερου ενδιαφέροντος για ελληνικές επιχειρήσεις.</w:t>
      </w:r>
    </w:p>
    <w:p w:rsidR="0063528A" w:rsidRPr="00EC14B2" w:rsidRDefault="0063528A" w:rsidP="00243CDC">
      <w:pPr>
        <w:spacing w:line="276" w:lineRule="auto"/>
        <w:jc w:val="center"/>
        <w:rPr>
          <w:b/>
          <w:u w:val="single"/>
        </w:rPr>
      </w:pPr>
    </w:p>
    <w:p w:rsidR="0059168A" w:rsidRDefault="00B7379F" w:rsidP="0059168A">
      <w:pPr>
        <w:pStyle w:val="ListParagraph"/>
        <w:numPr>
          <w:ilvl w:val="0"/>
          <w:numId w:val="5"/>
        </w:numPr>
        <w:spacing w:line="276" w:lineRule="auto"/>
        <w:jc w:val="center"/>
        <w:rPr>
          <w:b/>
        </w:rPr>
      </w:pPr>
      <w:r>
        <w:rPr>
          <w:b/>
        </w:rPr>
        <w:t>Εξελίξεις στους τομείς μεταφορών και επικοινωνιών</w:t>
      </w:r>
      <w:r w:rsidR="0059168A">
        <w:rPr>
          <w:b/>
        </w:rPr>
        <w:t>.</w:t>
      </w:r>
    </w:p>
    <w:p w:rsidR="00B7379F" w:rsidRDefault="00B7379F" w:rsidP="00B7379F">
      <w:pPr>
        <w:spacing w:line="276" w:lineRule="auto"/>
        <w:jc w:val="both"/>
      </w:pPr>
    </w:p>
    <w:p w:rsidR="00B7379F" w:rsidRPr="00F70179" w:rsidRDefault="00B7379F" w:rsidP="00B7379F">
      <w:pPr>
        <w:spacing w:line="276" w:lineRule="auto"/>
        <w:jc w:val="both"/>
        <w:rPr>
          <w:b/>
        </w:rPr>
      </w:pPr>
      <w:r w:rsidRPr="00B7379F">
        <w:rPr>
          <w:b/>
        </w:rPr>
        <w:t>Αεροπορικές μεταφορές.</w:t>
      </w:r>
    </w:p>
    <w:p w:rsidR="00B7379F" w:rsidRDefault="00B7379F" w:rsidP="00B7379F">
      <w:pPr>
        <w:spacing w:line="276" w:lineRule="auto"/>
        <w:jc w:val="both"/>
      </w:pPr>
      <w:r>
        <w:t>Τον Απρίλιο του 2023, ο αριθμός των πτήσεων ήταν 976 ή 4,8% περισσότερες, σε σχέση με την αντίστοιχη περσινή περίοδο, ενώ ο συνολικός αριθμός επιβατών ήταν 295.287 ή 13,1% περισσότεροι από την αντίστοιχη περσινή περίοδο.</w:t>
      </w:r>
    </w:p>
    <w:p w:rsidR="00B7379F" w:rsidRDefault="00B7379F" w:rsidP="00B7379F">
      <w:pPr>
        <w:spacing w:line="276" w:lineRule="auto"/>
        <w:jc w:val="both"/>
      </w:pPr>
    </w:p>
    <w:p w:rsidR="00B7379F" w:rsidRPr="00F70179" w:rsidRDefault="00B7379F" w:rsidP="00B7379F">
      <w:pPr>
        <w:spacing w:line="276" w:lineRule="auto"/>
        <w:jc w:val="both"/>
        <w:rPr>
          <w:b/>
        </w:rPr>
      </w:pPr>
      <w:r w:rsidRPr="00B7379F">
        <w:rPr>
          <w:b/>
        </w:rPr>
        <w:t>Σιδηροδρομικές μεταφορές</w:t>
      </w:r>
      <w:r>
        <w:rPr>
          <w:b/>
        </w:rPr>
        <w:t>.</w:t>
      </w:r>
    </w:p>
    <w:p w:rsidR="00B7379F" w:rsidRDefault="00B7379F" w:rsidP="00B7379F">
      <w:pPr>
        <w:spacing w:line="276" w:lineRule="auto"/>
        <w:jc w:val="both"/>
      </w:pPr>
      <w:r>
        <w:t xml:space="preserve">Τον Απρίλιο του 2023 ο αριθμός των επιβατών ήταν 6.238 ή 5,2% λιγότεροι από </w:t>
      </w:r>
      <w:r w:rsidR="00F70179">
        <w:t>την αντίστοιχη περσινή περίοδο.</w:t>
      </w:r>
    </w:p>
    <w:p w:rsidR="00F70179" w:rsidRDefault="00F70179" w:rsidP="00B7379F">
      <w:pPr>
        <w:spacing w:line="276" w:lineRule="auto"/>
        <w:jc w:val="both"/>
      </w:pPr>
    </w:p>
    <w:p w:rsidR="00B7379F" w:rsidRPr="00F70179" w:rsidRDefault="00B7379F" w:rsidP="00B7379F">
      <w:pPr>
        <w:spacing w:line="276" w:lineRule="auto"/>
        <w:jc w:val="both"/>
        <w:rPr>
          <w:b/>
        </w:rPr>
      </w:pPr>
      <w:r w:rsidRPr="00B7379F">
        <w:rPr>
          <w:b/>
        </w:rPr>
        <w:t>Σταθερή τηλεφωνία</w:t>
      </w:r>
      <w:r>
        <w:rPr>
          <w:b/>
        </w:rPr>
        <w:t>.</w:t>
      </w:r>
    </w:p>
    <w:p w:rsidR="00B7379F" w:rsidRDefault="00B7379F" w:rsidP="00B7379F">
      <w:pPr>
        <w:spacing w:line="276" w:lineRule="auto"/>
        <w:jc w:val="both"/>
      </w:pPr>
      <w:r>
        <w:t>Τον Απρίλιο του 2023 ο αριθμός των χρηστών του δικτύου σταθερής τηλεφωνίας ήταν 67.085 ή 6,2% λιγότεροι σε σχέση με την αντίστοιχη περσινή περίοδο, ενώ η πραγματοποιηθείσα κίνηση (σε λεπτά) ήταν 2.904.585 ή 9,9% μειωμένη, σε σχέση με την αντίστοιχη περσινή περίοδο.</w:t>
      </w:r>
    </w:p>
    <w:p w:rsidR="00B7379F" w:rsidRDefault="00B7379F" w:rsidP="00B7379F">
      <w:pPr>
        <w:spacing w:line="276" w:lineRule="auto"/>
        <w:jc w:val="both"/>
      </w:pPr>
    </w:p>
    <w:p w:rsidR="00B7379F" w:rsidRPr="00F70179" w:rsidRDefault="00B7379F" w:rsidP="00B7379F">
      <w:pPr>
        <w:spacing w:line="276" w:lineRule="auto"/>
        <w:jc w:val="both"/>
        <w:rPr>
          <w:b/>
        </w:rPr>
      </w:pPr>
      <w:r>
        <w:rPr>
          <w:b/>
        </w:rPr>
        <w:t>Κινητή τηλεφωνία.</w:t>
      </w:r>
    </w:p>
    <w:p w:rsidR="00B7379F" w:rsidRPr="00B7379F" w:rsidRDefault="00B7379F" w:rsidP="00B7379F">
      <w:pPr>
        <w:spacing w:line="276" w:lineRule="auto"/>
        <w:jc w:val="both"/>
      </w:pPr>
      <w:r>
        <w:t>Τον Απρίλιο του 2023 ο αριθμός των χρηστών καρτοκινητής τηλεφωνίας ήταν 1.453.788 ή 0,5% λιγότεροι από την αντίστοιχη περσινή περίοδο, ενώ ο αριθμός των χρηστών κινητής τηλεφωνίας με σύνδεση ήταν 278.351 ή 4,4% περισσότεροι από την αντίστοιχη περσινή περίοδο.</w:t>
      </w:r>
    </w:p>
    <w:p w:rsidR="0007491F" w:rsidRPr="007B1641" w:rsidRDefault="0007491F" w:rsidP="00AD469B">
      <w:pPr>
        <w:spacing w:line="276" w:lineRule="auto"/>
      </w:pPr>
    </w:p>
    <w:p w:rsidR="00D376C2" w:rsidRDefault="00963F46" w:rsidP="00D376C2">
      <w:pPr>
        <w:pStyle w:val="ListParagraph"/>
        <w:numPr>
          <w:ilvl w:val="0"/>
          <w:numId w:val="5"/>
        </w:numPr>
        <w:spacing w:line="276" w:lineRule="auto"/>
        <w:jc w:val="center"/>
        <w:rPr>
          <w:b/>
        </w:rPr>
      </w:pPr>
      <w:r>
        <w:rPr>
          <w:b/>
        </w:rPr>
        <w:t>Δημόσιος</w:t>
      </w:r>
      <w:r w:rsidR="002747F6">
        <w:rPr>
          <w:b/>
        </w:rPr>
        <w:t xml:space="preserve"> Διαγωνισμός για κατασκευή Κέντρου Υγείας</w:t>
      </w:r>
      <w:r w:rsidR="00D376C2">
        <w:rPr>
          <w:b/>
        </w:rPr>
        <w:t>.</w:t>
      </w:r>
    </w:p>
    <w:p w:rsidR="00694C19" w:rsidRDefault="00694C19" w:rsidP="00694C19">
      <w:pPr>
        <w:pStyle w:val="ListParagraph"/>
        <w:spacing w:line="276" w:lineRule="auto"/>
        <w:rPr>
          <w:b/>
        </w:rPr>
      </w:pPr>
    </w:p>
    <w:p w:rsidR="00E06592" w:rsidRPr="00E06592" w:rsidRDefault="002747F6" w:rsidP="00D376C2">
      <w:pPr>
        <w:spacing w:line="276" w:lineRule="auto"/>
        <w:jc w:val="both"/>
      </w:pPr>
      <w:r>
        <w:t>Το Υ</w:t>
      </w:r>
      <w:r w:rsidRPr="002747F6">
        <w:t>π</w:t>
      </w:r>
      <w:r>
        <w:t xml:space="preserve">ουργείο Υγείας του Κοσσόβου ανακοίνωσε </w:t>
      </w:r>
      <w:r w:rsidRPr="002747F6">
        <w:t xml:space="preserve">την έναρξη </w:t>
      </w:r>
      <w:r>
        <w:t xml:space="preserve">δημόσιου </w:t>
      </w:r>
      <w:r w:rsidRPr="002747F6">
        <w:t>δ</w:t>
      </w:r>
      <w:r>
        <w:t>ιαγωνισμού για την κατασκευή Κέντρου Πρωτοβάθμιας Φροντίδας Υ</w:t>
      </w:r>
      <w:r w:rsidRPr="002747F6">
        <w:t>γείας</w:t>
      </w:r>
      <w:r>
        <w:t>,</w:t>
      </w:r>
      <w:r w:rsidRPr="002747F6">
        <w:t xml:space="preserve"> αξίας περίπου 2,97 εκατομμυρίων ευρώ</w:t>
      </w:r>
      <w:r>
        <w:t xml:space="preserve"> (3,2 εκατομμύρια δολάρια) στην πόλη </w:t>
      </w:r>
      <w:proofErr w:type="spellStart"/>
      <w:r w:rsidRPr="002747F6">
        <w:t>Ντρένας</w:t>
      </w:r>
      <w:proofErr w:type="spellEnd"/>
      <w:r w:rsidRPr="002747F6">
        <w:t>, στο κεντρικό τμήμα τη</w:t>
      </w:r>
      <w:r>
        <w:t xml:space="preserve">ς χώρας. Οι υποψήφιοι </w:t>
      </w:r>
      <w:r w:rsidRPr="002747F6">
        <w:t>πρέπει να αποδείξουν ότι τα τελευταία τρία χρόνια ολοκλήρωσαν επιτυχώς την κατασκευή έ</w:t>
      </w:r>
      <w:r>
        <w:t>ργων συνολικής αξίας 3 εκατ. Ευρώ, είχαν τζίρο τουλάχιστον 4 Ε</w:t>
      </w:r>
      <w:r w:rsidRPr="002747F6">
        <w:t>κατ. ευρώ και κατέχουν οικον</w:t>
      </w:r>
      <w:r>
        <w:t xml:space="preserve">ομικό κεφάλαιο τουλάχιστον 500 Εκατ. ευρώ, ανέφερε το Υπουργείο στην </w:t>
      </w:r>
      <w:r w:rsidRPr="002747F6">
        <w:t xml:space="preserve">προκήρυξη </w:t>
      </w:r>
      <w:r>
        <w:t xml:space="preserve">του διαγωνισμού. Η κατασκευή </w:t>
      </w:r>
      <w:r w:rsidRPr="002747F6">
        <w:t>θα πρέπει να ολοκληρωθεί εντός τριών ετών από την υπογραφή της σύμβασης. Οι προσφορές θα πρέπει να υποβληθούν έως τις 17 Ιουλίου</w:t>
      </w:r>
      <w:r>
        <w:t xml:space="preserve"> 2023</w:t>
      </w:r>
      <w:r w:rsidRPr="002747F6">
        <w:t>.</w:t>
      </w:r>
    </w:p>
    <w:p w:rsidR="003A2C97" w:rsidRPr="00CD4FE0" w:rsidRDefault="003A2C97" w:rsidP="005837B5">
      <w:pPr>
        <w:spacing w:line="276" w:lineRule="auto"/>
        <w:jc w:val="both"/>
      </w:pPr>
    </w:p>
    <w:sectPr w:rsidR="003A2C97" w:rsidRPr="00CD4FE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A54" w:rsidRDefault="002E4A54" w:rsidP="00240931">
      <w:r>
        <w:separator/>
      </w:r>
    </w:p>
  </w:endnote>
  <w:endnote w:type="continuationSeparator" w:id="0">
    <w:p w:rsidR="002E4A54" w:rsidRDefault="002E4A54" w:rsidP="00240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179" w:rsidRDefault="00F701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6738226"/>
      <w:docPartObj>
        <w:docPartGallery w:val="Page Numbers (Bottom of Page)"/>
        <w:docPartUnique/>
      </w:docPartObj>
    </w:sdtPr>
    <w:sdtEndPr>
      <w:rPr>
        <w:noProof/>
      </w:rPr>
    </w:sdtEndPr>
    <w:sdtContent>
      <w:p w:rsidR="00F70179" w:rsidRDefault="00F70179">
        <w:pPr>
          <w:pStyle w:val="Footer"/>
        </w:pPr>
        <w:r>
          <w:fldChar w:fldCharType="begin"/>
        </w:r>
        <w:r>
          <w:instrText xml:space="preserve"> PAGE   \* MERGEFORMAT </w:instrText>
        </w:r>
        <w:r>
          <w:fldChar w:fldCharType="separate"/>
        </w:r>
        <w:r w:rsidR="004B415F">
          <w:rPr>
            <w:noProof/>
          </w:rPr>
          <w:t>4</w:t>
        </w:r>
        <w:r>
          <w:rPr>
            <w:noProof/>
          </w:rPr>
          <w:fldChar w:fldCharType="end"/>
        </w:r>
      </w:p>
    </w:sdtContent>
  </w:sdt>
  <w:p w:rsidR="00F70179" w:rsidRDefault="00F7017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179" w:rsidRDefault="00F701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A54" w:rsidRDefault="002E4A54" w:rsidP="00240931">
      <w:r>
        <w:separator/>
      </w:r>
    </w:p>
  </w:footnote>
  <w:footnote w:type="continuationSeparator" w:id="0">
    <w:p w:rsidR="002E4A54" w:rsidRDefault="002E4A54" w:rsidP="002409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179" w:rsidRDefault="00F701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179" w:rsidRDefault="00F7017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179" w:rsidRDefault="00F701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A31DB"/>
    <w:multiLevelType w:val="hybridMultilevel"/>
    <w:tmpl w:val="7CE26D98"/>
    <w:lvl w:ilvl="0" w:tplc="D518A37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53D5555"/>
    <w:multiLevelType w:val="hybridMultilevel"/>
    <w:tmpl w:val="9F424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E50E0B"/>
    <w:multiLevelType w:val="hybridMultilevel"/>
    <w:tmpl w:val="3160A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C54361"/>
    <w:multiLevelType w:val="hybridMultilevel"/>
    <w:tmpl w:val="EC589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46327C"/>
    <w:multiLevelType w:val="hybridMultilevel"/>
    <w:tmpl w:val="EA52DB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EC6"/>
    <w:rsid w:val="000142CB"/>
    <w:rsid w:val="00023CCF"/>
    <w:rsid w:val="000651ED"/>
    <w:rsid w:val="0007491F"/>
    <w:rsid w:val="00097A18"/>
    <w:rsid w:val="000C548D"/>
    <w:rsid w:val="000C6DAE"/>
    <w:rsid w:val="00104A1E"/>
    <w:rsid w:val="001C1ECD"/>
    <w:rsid w:val="001D4C2C"/>
    <w:rsid w:val="001F39ED"/>
    <w:rsid w:val="00240931"/>
    <w:rsid w:val="00243CDC"/>
    <w:rsid w:val="00261079"/>
    <w:rsid w:val="002727B5"/>
    <w:rsid w:val="002747F6"/>
    <w:rsid w:val="002A51A2"/>
    <w:rsid w:val="002C3BAD"/>
    <w:rsid w:val="002E4A54"/>
    <w:rsid w:val="002F2BD3"/>
    <w:rsid w:val="00300709"/>
    <w:rsid w:val="003048E6"/>
    <w:rsid w:val="00320041"/>
    <w:rsid w:val="003314A3"/>
    <w:rsid w:val="00337E12"/>
    <w:rsid w:val="00341EC8"/>
    <w:rsid w:val="0035042A"/>
    <w:rsid w:val="003573A0"/>
    <w:rsid w:val="00376DD5"/>
    <w:rsid w:val="00392DF3"/>
    <w:rsid w:val="003A2C97"/>
    <w:rsid w:val="003C1951"/>
    <w:rsid w:val="003E0AF0"/>
    <w:rsid w:val="003F5CEE"/>
    <w:rsid w:val="00413B3D"/>
    <w:rsid w:val="004156A8"/>
    <w:rsid w:val="004373AF"/>
    <w:rsid w:val="00483BD6"/>
    <w:rsid w:val="004924E9"/>
    <w:rsid w:val="004A683D"/>
    <w:rsid w:val="004B415F"/>
    <w:rsid w:val="00507A8E"/>
    <w:rsid w:val="005224DC"/>
    <w:rsid w:val="005408DD"/>
    <w:rsid w:val="00560746"/>
    <w:rsid w:val="00571982"/>
    <w:rsid w:val="00581909"/>
    <w:rsid w:val="005837B5"/>
    <w:rsid w:val="0059168A"/>
    <w:rsid w:val="005937EA"/>
    <w:rsid w:val="005C738C"/>
    <w:rsid w:val="005E329B"/>
    <w:rsid w:val="005E77F0"/>
    <w:rsid w:val="0061307B"/>
    <w:rsid w:val="006229D0"/>
    <w:rsid w:val="006337A3"/>
    <w:rsid w:val="0063528A"/>
    <w:rsid w:val="0064747A"/>
    <w:rsid w:val="00647F8F"/>
    <w:rsid w:val="00662650"/>
    <w:rsid w:val="00694C19"/>
    <w:rsid w:val="006C1505"/>
    <w:rsid w:val="006C5EB8"/>
    <w:rsid w:val="00785595"/>
    <w:rsid w:val="007B00B6"/>
    <w:rsid w:val="007B1641"/>
    <w:rsid w:val="007E6B22"/>
    <w:rsid w:val="007E71A3"/>
    <w:rsid w:val="00801DE9"/>
    <w:rsid w:val="00822088"/>
    <w:rsid w:val="00895550"/>
    <w:rsid w:val="008B337A"/>
    <w:rsid w:val="008D172D"/>
    <w:rsid w:val="008D7EB4"/>
    <w:rsid w:val="008E1C43"/>
    <w:rsid w:val="00903B1F"/>
    <w:rsid w:val="00932951"/>
    <w:rsid w:val="00963F46"/>
    <w:rsid w:val="00975AED"/>
    <w:rsid w:val="0099569F"/>
    <w:rsid w:val="00997D51"/>
    <w:rsid w:val="009E1528"/>
    <w:rsid w:val="00A076B4"/>
    <w:rsid w:val="00A07DB6"/>
    <w:rsid w:val="00A41EC6"/>
    <w:rsid w:val="00A42BF2"/>
    <w:rsid w:val="00A47273"/>
    <w:rsid w:val="00A5164B"/>
    <w:rsid w:val="00A56520"/>
    <w:rsid w:val="00A76408"/>
    <w:rsid w:val="00A76D14"/>
    <w:rsid w:val="00AA746C"/>
    <w:rsid w:val="00AB1F79"/>
    <w:rsid w:val="00AB70F8"/>
    <w:rsid w:val="00AB785E"/>
    <w:rsid w:val="00AC1BD9"/>
    <w:rsid w:val="00AD469B"/>
    <w:rsid w:val="00AF77A4"/>
    <w:rsid w:val="00B13B5B"/>
    <w:rsid w:val="00B34696"/>
    <w:rsid w:val="00B66D1C"/>
    <w:rsid w:val="00B707B2"/>
    <w:rsid w:val="00B7379F"/>
    <w:rsid w:val="00B8416D"/>
    <w:rsid w:val="00BD5BA5"/>
    <w:rsid w:val="00BE5B57"/>
    <w:rsid w:val="00C1404B"/>
    <w:rsid w:val="00C2501B"/>
    <w:rsid w:val="00C359C8"/>
    <w:rsid w:val="00C559CA"/>
    <w:rsid w:val="00CB4D64"/>
    <w:rsid w:val="00CD4FE0"/>
    <w:rsid w:val="00CE7B9D"/>
    <w:rsid w:val="00CF0C18"/>
    <w:rsid w:val="00D01DCE"/>
    <w:rsid w:val="00D2302F"/>
    <w:rsid w:val="00D323B0"/>
    <w:rsid w:val="00D35873"/>
    <w:rsid w:val="00D376C2"/>
    <w:rsid w:val="00D8696C"/>
    <w:rsid w:val="00DB6C15"/>
    <w:rsid w:val="00DC75B9"/>
    <w:rsid w:val="00DE25E1"/>
    <w:rsid w:val="00DF47F2"/>
    <w:rsid w:val="00E05E86"/>
    <w:rsid w:val="00E05F40"/>
    <w:rsid w:val="00E06592"/>
    <w:rsid w:val="00E367EB"/>
    <w:rsid w:val="00E76AB4"/>
    <w:rsid w:val="00EA1FFA"/>
    <w:rsid w:val="00EB565D"/>
    <w:rsid w:val="00EC14B2"/>
    <w:rsid w:val="00ED36BB"/>
    <w:rsid w:val="00F33215"/>
    <w:rsid w:val="00F70179"/>
    <w:rsid w:val="00F80A14"/>
    <w:rsid w:val="00F86615"/>
    <w:rsid w:val="00F86E74"/>
    <w:rsid w:val="00FA7497"/>
    <w:rsid w:val="00FB0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EC6"/>
    <w:pPr>
      <w:suppressAutoHyphens/>
      <w:spacing w:after="0" w:line="240" w:lineRule="auto"/>
    </w:pPr>
    <w:rPr>
      <w:rFonts w:ascii="Times New Roman" w:eastAsia="Times New Roman" w:hAnsi="Times New Roman" w:cs="Times New Roman"/>
      <w:sz w:val="24"/>
      <w:szCs w:val="24"/>
      <w:lang w:val="el-GR" w:eastAsia="ar-SA"/>
    </w:rPr>
  </w:style>
  <w:style w:type="paragraph" w:styleId="Heading6">
    <w:name w:val="heading 6"/>
    <w:basedOn w:val="Normal"/>
    <w:next w:val="Normal"/>
    <w:link w:val="Heading6Char"/>
    <w:uiPriority w:val="9"/>
    <w:unhideWhenUsed/>
    <w:qFormat/>
    <w:rsid w:val="00A41EC6"/>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A41EC6"/>
    <w:rPr>
      <w:rFonts w:asciiTheme="majorHAnsi" w:eastAsiaTheme="majorEastAsia" w:hAnsiTheme="majorHAnsi" w:cstheme="majorBidi"/>
      <w:i/>
      <w:iCs/>
      <w:color w:val="243F60" w:themeColor="accent1" w:themeShade="7F"/>
      <w:sz w:val="24"/>
      <w:szCs w:val="24"/>
      <w:lang w:val="el-GR" w:eastAsia="ar-SA"/>
    </w:rPr>
  </w:style>
  <w:style w:type="table" w:styleId="MediumList1-Accent5">
    <w:name w:val="Medium List 1 Accent 5"/>
    <w:basedOn w:val="TableNormal"/>
    <w:uiPriority w:val="65"/>
    <w:rsid w:val="00A41EC6"/>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Strong">
    <w:name w:val="Strong"/>
    <w:basedOn w:val="DefaultParagraphFont"/>
    <w:uiPriority w:val="22"/>
    <w:qFormat/>
    <w:rsid w:val="00A41EC6"/>
    <w:rPr>
      <w:b/>
      <w:bCs/>
    </w:rPr>
  </w:style>
  <w:style w:type="paragraph" w:styleId="BalloonText">
    <w:name w:val="Balloon Text"/>
    <w:basedOn w:val="Normal"/>
    <w:link w:val="BalloonTextChar"/>
    <w:uiPriority w:val="99"/>
    <w:semiHidden/>
    <w:unhideWhenUsed/>
    <w:rsid w:val="00A41EC6"/>
    <w:rPr>
      <w:rFonts w:ascii="Tahoma" w:hAnsi="Tahoma" w:cs="Tahoma"/>
      <w:sz w:val="16"/>
      <w:szCs w:val="16"/>
    </w:rPr>
  </w:style>
  <w:style w:type="character" w:customStyle="1" w:styleId="BalloonTextChar">
    <w:name w:val="Balloon Text Char"/>
    <w:basedOn w:val="DefaultParagraphFont"/>
    <w:link w:val="BalloonText"/>
    <w:uiPriority w:val="99"/>
    <w:semiHidden/>
    <w:rsid w:val="00A41EC6"/>
    <w:rPr>
      <w:rFonts w:ascii="Tahoma" w:eastAsia="Times New Roman" w:hAnsi="Tahoma" w:cs="Tahoma"/>
      <w:sz w:val="16"/>
      <w:szCs w:val="16"/>
      <w:lang w:val="el-GR" w:eastAsia="ar-SA"/>
    </w:rPr>
  </w:style>
  <w:style w:type="paragraph" w:styleId="ListParagraph">
    <w:name w:val="List Paragraph"/>
    <w:basedOn w:val="Normal"/>
    <w:uiPriority w:val="34"/>
    <w:qFormat/>
    <w:rsid w:val="00CF0C18"/>
    <w:pPr>
      <w:ind w:left="720"/>
      <w:contextualSpacing/>
    </w:pPr>
  </w:style>
  <w:style w:type="paragraph" w:styleId="Header">
    <w:name w:val="header"/>
    <w:basedOn w:val="Normal"/>
    <w:link w:val="HeaderChar"/>
    <w:uiPriority w:val="99"/>
    <w:unhideWhenUsed/>
    <w:rsid w:val="00240931"/>
    <w:pPr>
      <w:tabs>
        <w:tab w:val="center" w:pos="4680"/>
        <w:tab w:val="right" w:pos="9360"/>
      </w:tabs>
    </w:pPr>
  </w:style>
  <w:style w:type="character" w:customStyle="1" w:styleId="HeaderChar">
    <w:name w:val="Header Char"/>
    <w:basedOn w:val="DefaultParagraphFont"/>
    <w:link w:val="Header"/>
    <w:uiPriority w:val="99"/>
    <w:rsid w:val="00240931"/>
    <w:rPr>
      <w:rFonts w:ascii="Times New Roman" w:eastAsia="Times New Roman" w:hAnsi="Times New Roman" w:cs="Times New Roman"/>
      <w:sz w:val="24"/>
      <w:szCs w:val="24"/>
      <w:lang w:val="el-GR" w:eastAsia="ar-SA"/>
    </w:rPr>
  </w:style>
  <w:style w:type="paragraph" w:styleId="Footer">
    <w:name w:val="footer"/>
    <w:basedOn w:val="Normal"/>
    <w:link w:val="FooterChar"/>
    <w:uiPriority w:val="99"/>
    <w:unhideWhenUsed/>
    <w:rsid w:val="00240931"/>
    <w:pPr>
      <w:tabs>
        <w:tab w:val="center" w:pos="4680"/>
        <w:tab w:val="right" w:pos="9360"/>
      </w:tabs>
    </w:pPr>
  </w:style>
  <w:style w:type="character" w:customStyle="1" w:styleId="FooterChar">
    <w:name w:val="Footer Char"/>
    <w:basedOn w:val="DefaultParagraphFont"/>
    <w:link w:val="Footer"/>
    <w:uiPriority w:val="99"/>
    <w:rsid w:val="00240931"/>
    <w:rPr>
      <w:rFonts w:ascii="Times New Roman" w:eastAsia="Times New Roman" w:hAnsi="Times New Roman" w:cs="Times New Roman"/>
      <w:sz w:val="24"/>
      <w:szCs w:val="24"/>
      <w:lang w:val="el-GR" w:eastAsia="ar-SA"/>
    </w:rPr>
  </w:style>
  <w:style w:type="character" w:styleId="Hyperlink">
    <w:name w:val="Hyperlink"/>
    <w:basedOn w:val="DefaultParagraphFont"/>
    <w:uiPriority w:val="99"/>
    <w:unhideWhenUsed/>
    <w:rsid w:val="00E065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EC6"/>
    <w:pPr>
      <w:suppressAutoHyphens/>
      <w:spacing w:after="0" w:line="240" w:lineRule="auto"/>
    </w:pPr>
    <w:rPr>
      <w:rFonts w:ascii="Times New Roman" w:eastAsia="Times New Roman" w:hAnsi="Times New Roman" w:cs="Times New Roman"/>
      <w:sz w:val="24"/>
      <w:szCs w:val="24"/>
      <w:lang w:val="el-GR" w:eastAsia="ar-SA"/>
    </w:rPr>
  </w:style>
  <w:style w:type="paragraph" w:styleId="Heading6">
    <w:name w:val="heading 6"/>
    <w:basedOn w:val="Normal"/>
    <w:next w:val="Normal"/>
    <w:link w:val="Heading6Char"/>
    <w:uiPriority w:val="9"/>
    <w:unhideWhenUsed/>
    <w:qFormat/>
    <w:rsid w:val="00A41EC6"/>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A41EC6"/>
    <w:rPr>
      <w:rFonts w:asciiTheme="majorHAnsi" w:eastAsiaTheme="majorEastAsia" w:hAnsiTheme="majorHAnsi" w:cstheme="majorBidi"/>
      <w:i/>
      <w:iCs/>
      <w:color w:val="243F60" w:themeColor="accent1" w:themeShade="7F"/>
      <w:sz w:val="24"/>
      <w:szCs w:val="24"/>
      <w:lang w:val="el-GR" w:eastAsia="ar-SA"/>
    </w:rPr>
  </w:style>
  <w:style w:type="table" w:styleId="MediumList1-Accent5">
    <w:name w:val="Medium List 1 Accent 5"/>
    <w:basedOn w:val="TableNormal"/>
    <w:uiPriority w:val="65"/>
    <w:rsid w:val="00A41EC6"/>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Strong">
    <w:name w:val="Strong"/>
    <w:basedOn w:val="DefaultParagraphFont"/>
    <w:uiPriority w:val="22"/>
    <w:qFormat/>
    <w:rsid w:val="00A41EC6"/>
    <w:rPr>
      <w:b/>
      <w:bCs/>
    </w:rPr>
  </w:style>
  <w:style w:type="paragraph" w:styleId="BalloonText">
    <w:name w:val="Balloon Text"/>
    <w:basedOn w:val="Normal"/>
    <w:link w:val="BalloonTextChar"/>
    <w:uiPriority w:val="99"/>
    <w:semiHidden/>
    <w:unhideWhenUsed/>
    <w:rsid w:val="00A41EC6"/>
    <w:rPr>
      <w:rFonts w:ascii="Tahoma" w:hAnsi="Tahoma" w:cs="Tahoma"/>
      <w:sz w:val="16"/>
      <w:szCs w:val="16"/>
    </w:rPr>
  </w:style>
  <w:style w:type="character" w:customStyle="1" w:styleId="BalloonTextChar">
    <w:name w:val="Balloon Text Char"/>
    <w:basedOn w:val="DefaultParagraphFont"/>
    <w:link w:val="BalloonText"/>
    <w:uiPriority w:val="99"/>
    <w:semiHidden/>
    <w:rsid w:val="00A41EC6"/>
    <w:rPr>
      <w:rFonts w:ascii="Tahoma" w:eastAsia="Times New Roman" w:hAnsi="Tahoma" w:cs="Tahoma"/>
      <w:sz w:val="16"/>
      <w:szCs w:val="16"/>
      <w:lang w:val="el-GR" w:eastAsia="ar-SA"/>
    </w:rPr>
  </w:style>
  <w:style w:type="paragraph" w:styleId="ListParagraph">
    <w:name w:val="List Paragraph"/>
    <w:basedOn w:val="Normal"/>
    <w:uiPriority w:val="34"/>
    <w:qFormat/>
    <w:rsid w:val="00CF0C18"/>
    <w:pPr>
      <w:ind w:left="720"/>
      <w:contextualSpacing/>
    </w:pPr>
  </w:style>
  <w:style w:type="paragraph" w:styleId="Header">
    <w:name w:val="header"/>
    <w:basedOn w:val="Normal"/>
    <w:link w:val="HeaderChar"/>
    <w:uiPriority w:val="99"/>
    <w:unhideWhenUsed/>
    <w:rsid w:val="00240931"/>
    <w:pPr>
      <w:tabs>
        <w:tab w:val="center" w:pos="4680"/>
        <w:tab w:val="right" w:pos="9360"/>
      </w:tabs>
    </w:pPr>
  </w:style>
  <w:style w:type="character" w:customStyle="1" w:styleId="HeaderChar">
    <w:name w:val="Header Char"/>
    <w:basedOn w:val="DefaultParagraphFont"/>
    <w:link w:val="Header"/>
    <w:uiPriority w:val="99"/>
    <w:rsid w:val="00240931"/>
    <w:rPr>
      <w:rFonts w:ascii="Times New Roman" w:eastAsia="Times New Roman" w:hAnsi="Times New Roman" w:cs="Times New Roman"/>
      <w:sz w:val="24"/>
      <w:szCs w:val="24"/>
      <w:lang w:val="el-GR" w:eastAsia="ar-SA"/>
    </w:rPr>
  </w:style>
  <w:style w:type="paragraph" w:styleId="Footer">
    <w:name w:val="footer"/>
    <w:basedOn w:val="Normal"/>
    <w:link w:val="FooterChar"/>
    <w:uiPriority w:val="99"/>
    <w:unhideWhenUsed/>
    <w:rsid w:val="00240931"/>
    <w:pPr>
      <w:tabs>
        <w:tab w:val="center" w:pos="4680"/>
        <w:tab w:val="right" w:pos="9360"/>
      </w:tabs>
    </w:pPr>
  </w:style>
  <w:style w:type="character" w:customStyle="1" w:styleId="FooterChar">
    <w:name w:val="Footer Char"/>
    <w:basedOn w:val="DefaultParagraphFont"/>
    <w:link w:val="Footer"/>
    <w:uiPriority w:val="99"/>
    <w:rsid w:val="00240931"/>
    <w:rPr>
      <w:rFonts w:ascii="Times New Roman" w:eastAsia="Times New Roman" w:hAnsi="Times New Roman" w:cs="Times New Roman"/>
      <w:sz w:val="24"/>
      <w:szCs w:val="24"/>
      <w:lang w:val="el-GR" w:eastAsia="ar-SA"/>
    </w:rPr>
  </w:style>
  <w:style w:type="character" w:styleId="Hyperlink">
    <w:name w:val="Hyperlink"/>
    <w:basedOn w:val="DefaultParagraphFont"/>
    <w:uiPriority w:val="99"/>
    <w:unhideWhenUsed/>
    <w:rsid w:val="00E065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4</Pages>
  <Words>1278</Words>
  <Characters>7288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13</cp:revision>
  <dcterms:created xsi:type="dcterms:W3CDTF">2023-07-05T07:29:00Z</dcterms:created>
  <dcterms:modified xsi:type="dcterms:W3CDTF">2023-07-05T10:11:00Z</dcterms:modified>
</cp:coreProperties>
</file>